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5DF3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Republika Hrvatska </w:t>
      </w:r>
    </w:p>
    <w:p w14:paraId="3A535535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Ličko-senjska županija</w:t>
      </w:r>
    </w:p>
    <w:p w14:paraId="17657979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Grad Gospić</w:t>
      </w:r>
    </w:p>
    <w:p w14:paraId="77171EB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Dječji vrtić Pahuljica</w:t>
      </w:r>
    </w:p>
    <w:p w14:paraId="1D4B41F1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MB: 03345963</w:t>
      </w:r>
    </w:p>
    <w:p w14:paraId="0D1E7C1F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Šifra djelatnosti: 8510</w:t>
      </w:r>
    </w:p>
    <w:p w14:paraId="5DD46937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RKDP: 26678</w:t>
      </w:r>
    </w:p>
    <w:p w14:paraId="057A7CA8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RAZINA: 21</w:t>
      </w:r>
    </w:p>
    <w:p w14:paraId="6BA5ECE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E-mail: racunovodstvo@djecji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vrtic-pahuljica.hr</w:t>
      </w:r>
    </w:p>
    <w:p w14:paraId="7B65FE9D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Tel.: 053/572843</w:t>
      </w:r>
    </w:p>
    <w:p w14:paraId="13B75EBA">
      <w:pPr>
        <w:shd w:val="clear" w:color="auto" w:fill="FFFFFF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KLASA: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400-04/24-01/2</w:t>
      </w:r>
    </w:p>
    <w:p w14:paraId="1187DB85">
      <w:pPr>
        <w:shd w:val="clear" w:color="auto" w:fill="FFFFFF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>URBROJ:2125-1-16-01-2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-01</w:t>
      </w:r>
    </w:p>
    <w:p w14:paraId="5DCCB6D8">
      <w:pPr>
        <w:shd w:val="clear" w:color="auto" w:fill="FFFFFF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</w:p>
    <w:p w14:paraId="0221F76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67710C66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Gospić,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30.07.2024.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692E67E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562E9C82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1C4EAAA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PREDMET:  Obrazloženje Izvještaja o godišnjem izvršenju financijskog plana za 202</w:t>
      </w:r>
      <w:r>
        <w:rPr>
          <w:rFonts w:hint="default" w:asciiTheme="minorHAnsi" w:hAnsiTheme="minorHAnsi" w:cstheme="minorHAnsi"/>
          <w:b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.g</w:t>
      </w:r>
    </w:p>
    <w:p w14:paraId="38468BFC">
      <w:pPr>
        <w:pStyle w:val="1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 razdoblje 01.1.202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 xml:space="preserve">. -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30.6</w:t>
      </w:r>
      <w:r>
        <w:rPr>
          <w:rFonts w:asciiTheme="minorHAnsi" w:hAnsiTheme="minorHAnsi" w:cstheme="minorHAnsi"/>
          <w:bCs/>
          <w:sz w:val="24"/>
          <w:szCs w:val="24"/>
        </w:rPr>
        <w:t>.202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66A20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B9F2D1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Obveza izrade polugodišnjeg i godišnjeg izvještaja o izvršenju financijskog plana proračunskih korisnika  čl.81  Zakona o proračunu NN144/2021 (27.12.2021.)</w:t>
      </w:r>
    </w:p>
    <w:p w14:paraId="230DA250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Obzirom da polugodišnji Izvještaj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04C9F4B1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Slijedom gore navedenog Izvještaj o izvršenju financijskog plana Dječji vrtić Pahuljica, </w:t>
      </w:r>
    </w:p>
    <w:p w14:paraId="1B05A21D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sastoji se od: </w:t>
      </w:r>
    </w:p>
    <w:p w14:paraId="24283B43">
      <w:pPr>
        <w:pStyle w:val="9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 dio -Račun prihoda i rashoda</w:t>
      </w:r>
    </w:p>
    <w:p w14:paraId="051088BD">
      <w:pPr>
        <w:pStyle w:val="9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ekonomskoj klasifikaciji</w:t>
      </w:r>
    </w:p>
    <w:p w14:paraId="35725E28">
      <w:pPr>
        <w:pStyle w:val="9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izvorima</w:t>
      </w:r>
    </w:p>
    <w:p w14:paraId="53C43708">
      <w:pPr>
        <w:pStyle w:val="9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Posebni dio – Izvršenje rashoda i izdataka prema programskoj i ekonomskoj        klasifikaciji te izvorima</w:t>
      </w:r>
    </w:p>
    <w:p w14:paraId="2EC076C6">
      <w:pPr>
        <w:pStyle w:val="10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Obrazloženje </w:t>
      </w:r>
    </w:p>
    <w:p w14:paraId="4C52870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A139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Obvezno je sastavljanje polugodišnjeg i godišnjeg izvještaja. Kako bi potvrdno odgovorili na pitanje br. 62. Upitnika o fiskalnoj odgovornosti. Izvještaj o izvršenju financijskog plana predstavlja se Upravnom vijeću  te dostavlja osnivaču gradu Gospiću. </w:t>
      </w:r>
    </w:p>
    <w:p w14:paraId="2334BAB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F79F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CC3E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47CA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1FB78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AD57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1AB8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AC68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95926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01D099">
      <w:pPr>
        <w:pStyle w:val="10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OPĆI DIO </w:t>
      </w:r>
    </w:p>
    <w:p w14:paraId="46AB76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BA2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70D67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Račun prihoda i rashoda  </w:t>
      </w:r>
    </w:p>
    <w:p w14:paraId="03D31A3E">
      <w:pPr>
        <w:pStyle w:val="9"/>
      </w:pPr>
    </w:p>
    <w:p w14:paraId="50D01D60">
      <w:pPr>
        <w:pStyle w:val="9"/>
      </w:pPr>
    </w:p>
    <w:p w14:paraId="17C6FF48">
      <w:pPr>
        <w:pStyle w:val="9"/>
        <w:rPr>
          <w:rFonts w:cstheme="minorHAnsi"/>
          <w:sz w:val="24"/>
          <w:szCs w:val="24"/>
        </w:rPr>
      </w:pP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U tablici </w:t>
      </w:r>
      <w:r>
        <w:rPr>
          <w:rFonts w:hint="default" w:cstheme="minorHAnsi"/>
          <w:sz w:val="24"/>
          <w:szCs w:val="24"/>
          <w:lang w:val="hr-HR"/>
        </w:rPr>
        <w:t>Račun prihoda i rashoda</w:t>
      </w:r>
      <w:r>
        <w:rPr>
          <w:rFonts w:cstheme="minorHAnsi"/>
          <w:sz w:val="24"/>
          <w:szCs w:val="24"/>
        </w:rPr>
        <w:t xml:space="preserve"> prikazani su ostvareni ukupni rashodi  na dan 3</w:t>
      </w:r>
      <w:r>
        <w:rPr>
          <w:rFonts w:hint="default" w:cstheme="minorHAnsi"/>
          <w:sz w:val="24"/>
          <w:szCs w:val="24"/>
          <w:lang w:val="hr-HR"/>
        </w:rPr>
        <w:t>0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hr-HR"/>
        </w:rPr>
        <w:t>06</w:t>
      </w:r>
      <w:r>
        <w:rPr>
          <w:rFonts w:cstheme="minorHAnsi"/>
          <w:sz w:val="24"/>
          <w:szCs w:val="24"/>
        </w:rPr>
        <w:t>.202</w:t>
      </w:r>
      <w:r>
        <w:rPr>
          <w:rFonts w:hint="default" w:cstheme="minorHAnsi"/>
          <w:sz w:val="24"/>
          <w:szCs w:val="24"/>
          <w:lang w:val="hr-HR"/>
        </w:rPr>
        <w:t>3</w:t>
      </w:r>
      <w:r>
        <w:rPr>
          <w:rFonts w:cstheme="minorHAnsi"/>
          <w:sz w:val="24"/>
          <w:szCs w:val="24"/>
        </w:rPr>
        <w:t xml:space="preserve">. godine u iznosu </w:t>
      </w:r>
      <w:r>
        <w:rPr>
          <w:rFonts w:hint="default" w:cstheme="minorHAnsi"/>
          <w:sz w:val="24"/>
          <w:szCs w:val="24"/>
          <w:lang w:val="hr-HR"/>
        </w:rPr>
        <w:t>838.438,00</w:t>
      </w:r>
      <w:r>
        <w:rPr>
          <w:rFonts w:cstheme="minorHAnsi"/>
          <w:sz w:val="24"/>
          <w:szCs w:val="24"/>
        </w:rPr>
        <w:t xml:space="preserve"> eura, a ostvareni rashodi na dan 3</w:t>
      </w:r>
      <w:r>
        <w:rPr>
          <w:rFonts w:hint="default" w:cstheme="minorHAnsi"/>
          <w:sz w:val="24"/>
          <w:szCs w:val="24"/>
          <w:lang w:val="hr-HR"/>
        </w:rPr>
        <w:t>0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hr-HR"/>
        </w:rPr>
        <w:t>06</w:t>
      </w:r>
      <w:r>
        <w:rPr>
          <w:rFonts w:cstheme="minorHAnsi"/>
          <w:sz w:val="24"/>
          <w:szCs w:val="24"/>
        </w:rPr>
        <w:t>.202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 xml:space="preserve">.godine iznose </w:t>
      </w:r>
      <w:r>
        <w:rPr>
          <w:rFonts w:hint="default" w:cstheme="minorHAnsi"/>
          <w:sz w:val="24"/>
          <w:szCs w:val="24"/>
          <w:lang w:val="hr-HR"/>
        </w:rPr>
        <w:t>1.078.285,00</w:t>
      </w:r>
      <w:r>
        <w:rPr>
          <w:rFonts w:cstheme="minorHAnsi"/>
          <w:sz w:val="24"/>
          <w:szCs w:val="24"/>
        </w:rPr>
        <w:t xml:space="preserve"> eura što je za </w:t>
      </w:r>
      <w:r>
        <w:rPr>
          <w:rFonts w:hint="default" w:cstheme="minorHAnsi"/>
          <w:sz w:val="24"/>
          <w:szCs w:val="24"/>
          <w:lang w:val="hr-HR"/>
        </w:rPr>
        <w:t>28,6</w:t>
      </w:r>
      <w:r>
        <w:rPr>
          <w:rFonts w:cstheme="minorHAnsi"/>
          <w:sz w:val="24"/>
          <w:szCs w:val="24"/>
        </w:rPr>
        <w:t xml:space="preserve"> % više  u odnosu na prethodnu godinu.</w:t>
      </w:r>
    </w:p>
    <w:p w14:paraId="7FDD11D5">
      <w:pPr>
        <w:pStyle w:val="9"/>
        <w:jc w:val="both"/>
        <w:rPr>
          <w:rFonts w:cstheme="minorHAnsi"/>
          <w:sz w:val="24"/>
          <w:szCs w:val="24"/>
        </w:rPr>
      </w:pPr>
    </w:p>
    <w:p w14:paraId="14920C3C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Planirani rashodi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hr-HR"/>
        </w:rPr>
        <w:t>(01.01.-30.09.2024)</w:t>
      </w:r>
      <w:r>
        <w:rPr>
          <w:rFonts w:cstheme="minorHAnsi"/>
          <w:sz w:val="24"/>
          <w:szCs w:val="24"/>
        </w:rPr>
        <w:t xml:space="preserve"> godinu iznose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1.295.426,00</w:t>
      </w:r>
      <w:r>
        <w:rPr>
          <w:rFonts w:cstheme="minorHAnsi"/>
          <w:sz w:val="24"/>
          <w:szCs w:val="24"/>
        </w:rPr>
        <w:t xml:space="preserve"> eura a ostvareno je </w:t>
      </w:r>
      <w:r>
        <w:rPr>
          <w:rFonts w:hint="default" w:cstheme="minorHAnsi"/>
          <w:sz w:val="24"/>
          <w:szCs w:val="24"/>
          <w:lang w:val="hr-HR"/>
        </w:rPr>
        <w:t>1.078.285,10</w:t>
      </w:r>
      <w:r>
        <w:rPr>
          <w:rFonts w:cstheme="minorHAnsi"/>
          <w:sz w:val="24"/>
          <w:szCs w:val="24"/>
        </w:rPr>
        <w:t xml:space="preserve"> eura te je iz Izvještaja vidljivo da je to ostvarenje od </w:t>
      </w:r>
      <w:r>
        <w:rPr>
          <w:rFonts w:hint="default" w:cstheme="minorHAnsi"/>
          <w:sz w:val="24"/>
          <w:szCs w:val="24"/>
          <w:lang w:val="hr-HR"/>
        </w:rPr>
        <w:t>83,2</w:t>
      </w:r>
      <w:r>
        <w:rPr>
          <w:rFonts w:cstheme="minorHAnsi"/>
          <w:sz w:val="24"/>
          <w:szCs w:val="24"/>
        </w:rPr>
        <w:t xml:space="preserve"> % planiranih rashoda u skladu s financijskim planom za godišnje izvršenje.</w:t>
      </w:r>
    </w:p>
    <w:p w14:paraId="32ECF1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0E38B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tablici Izvještaja prikazani su i ostvareni prihodi i primici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3</w:t>
      </w:r>
      <w:r>
        <w:rPr>
          <w:rFonts w:asciiTheme="minorHAnsi" w:hAnsiTheme="minorHAnsi" w:cstheme="minorHAnsi"/>
          <w:sz w:val="24"/>
          <w:szCs w:val="24"/>
        </w:rPr>
        <w:t>.godini, planirani prihodi za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.godini te ostvareni prihodi i primici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.godini.</w:t>
      </w:r>
    </w:p>
    <w:p w14:paraId="6AC9E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A62532">
      <w:pPr>
        <w:pStyle w:val="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Planirani prihodi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 xml:space="preserve">. godinu iznose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1.295.426,00</w:t>
      </w:r>
      <w:r>
        <w:rPr>
          <w:rFonts w:cstheme="minorHAnsi"/>
          <w:color w:val="000000"/>
          <w:sz w:val="24"/>
          <w:szCs w:val="24"/>
          <w:lang w:eastAsia="hr-HR"/>
        </w:rPr>
        <w:t xml:space="preserve"> eura</w:t>
      </w:r>
      <w:r>
        <w:rPr>
          <w:rFonts w:cstheme="minorHAnsi"/>
          <w:sz w:val="24"/>
          <w:szCs w:val="24"/>
        </w:rPr>
        <w:t xml:space="preserve"> a ostvareno je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1.124.990,51</w:t>
      </w:r>
      <w:r>
        <w:rPr>
          <w:rFonts w:cstheme="minorHAnsi"/>
          <w:color w:val="000000"/>
          <w:sz w:val="24"/>
          <w:szCs w:val="24"/>
          <w:lang w:eastAsia="hr-HR"/>
        </w:rPr>
        <w:t xml:space="preserve"> eura</w:t>
      </w:r>
      <w:r>
        <w:rPr>
          <w:rFonts w:cstheme="minorHAnsi"/>
          <w:sz w:val="24"/>
          <w:szCs w:val="24"/>
        </w:rPr>
        <w:t xml:space="preserve"> te je iz Izvještaja vidljivo da je ostvarenje od </w:t>
      </w:r>
      <w:r>
        <w:rPr>
          <w:rFonts w:hint="default" w:cstheme="minorHAnsi"/>
          <w:sz w:val="24"/>
          <w:szCs w:val="24"/>
          <w:lang w:val="hr-HR"/>
        </w:rPr>
        <w:t>86,8</w:t>
      </w:r>
      <w:r>
        <w:rPr>
          <w:rFonts w:cstheme="minorHAnsi"/>
          <w:sz w:val="24"/>
          <w:szCs w:val="24"/>
        </w:rPr>
        <w:t xml:space="preserve"> % planiranih prihoda, što je u skladu s godišnjim izvršenjem financijskog plana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>.godinu.</w:t>
      </w:r>
    </w:p>
    <w:p w14:paraId="511B29A0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BAE0C8C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80DA8AA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5A1D91D4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A9F59E3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862EEBF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A6B9F56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1F4D0FE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8BF5DC1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51E72BA8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3872781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8A518FE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727D5F48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6416503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A3D5D4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5028140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BBF4C5F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1665A26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007A1B3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CD15B88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C9D6B6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7BC77C3A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04DB837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5D23EE5C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9293B76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2A98647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C830B0F">
      <w:pPr>
        <w:pStyle w:val="10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POSEBNI DIO</w:t>
      </w:r>
    </w:p>
    <w:p w14:paraId="19A7BC9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3F55D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Posebni dio polugodišnjeg i godišnjeg izvještaja o izvršenju financijskog plana proračunskog korisnika sadrži izvršenje rashoda i izdataka iskazanih po izvorima financiranja i ekonomskoj klasifikaciji, raspoređenih u programe koji se sastoje od aktivnosti i projekata.</w:t>
      </w:r>
    </w:p>
    <w:p w14:paraId="2BC920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271E2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Izvršenje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 godine :</w:t>
      </w:r>
    </w:p>
    <w:p w14:paraId="6FA204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463CD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Aktivnost A100001</w:t>
      </w:r>
    </w:p>
    <w:p w14:paraId="06E1C096">
      <w:pPr>
        <w:jc w:val="both"/>
        <w:rPr>
          <w:rFonts w:ascii="SimSun" w:hAnsi="SimSun" w:eastAsia="SimSun" w:cs="SimSun"/>
          <w:color w:val="auto"/>
          <w:sz w:val="24"/>
          <w:szCs w:val="24"/>
        </w:rPr>
      </w:pPr>
      <w:r>
        <w:rPr>
          <w:rFonts w:hint="default"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Ove troškove čine: plaće,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 xml:space="preserve">plaća za prekovremeni rad, </w:t>
      </w:r>
      <w:r>
        <w:rPr>
          <w:rFonts w:hint="default" w:eastAsia="SimSun" w:cs="SimSun" w:asciiTheme="minorAscii" w:hAnsiTheme="minorAscii"/>
          <w:sz w:val="24"/>
          <w:szCs w:val="24"/>
        </w:rPr>
        <w:t>doprinosi na plaće, naknade troškova zaposlenima. Grad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 xml:space="preserve"> Gospić </w:t>
      </w:r>
      <w:r>
        <w:rPr>
          <w:rFonts w:hint="default" w:eastAsia="SimSun" w:cs="SimSun" w:asciiTheme="minorAscii" w:hAnsiTheme="minorAscii"/>
          <w:sz w:val="24"/>
          <w:szCs w:val="24"/>
        </w:rPr>
        <w:t>financira kompletne troškove plaća, ostalih naknada za zaposlene (božićnica, regres, dar u naravi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...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) zaposlenih u Dječjem vrtiću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Pahuljica Gospić, s područnim vrtićem Lički Osik.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d uplata participacije roditelja u smještaju djece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 </w:t>
      </w:r>
      <w:r>
        <w:rPr>
          <w:rFonts w:hint="default" w:asciiTheme="minorHAnsi" w:hAnsiTheme="minorHAnsi" w:cstheme="minorHAnsi"/>
          <w:b/>
          <w:bCs/>
          <w:sz w:val="24"/>
          <w:szCs w:val="24"/>
          <w:lang w:val="hr-HR"/>
        </w:rPr>
        <w:t>f</w:t>
      </w:r>
      <w:r>
        <w:rPr>
          <w:rFonts w:hint="default" w:asciiTheme="minorHAnsi" w:hAnsiTheme="minorHAnsi" w:cstheme="minorHAnsi"/>
          <w:b w:val="0"/>
          <w:bCs w:val="0"/>
          <w:sz w:val="24"/>
          <w:szCs w:val="24"/>
          <w:lang w:val="hr-HR"/>
        </w:rPr>
        <w:t>inanciraju se materijalni rashodi</w:t>
      </w:r>
      <w:r>
        <w:rPr>
          <w:rFonts w:hint="default" w:asciiTheme="minorHAnsi" w:hAnsiTheme="minorHAnsi" w:cstheme="minorHAnsi"/>
          <w:b/>
          <w:bCs/>
          <w:sz w:val="24"/>
          <w:szCs w:val="24"/>
          <w:lang w:val="hr-HR"/>
        </w:rPr>
        <w:t xml:space="preserve">. </w:t>
      </w:r>
      <w:r>
        <w:rPr>
          <w:rFonts w:hint="default" w:eastAsia="SimSun" w:cs="SimSun" w:asciiTheme="minorAscii" w:hAnsiTheme="minorAscii"/>
          <w:sz w:val="24"/>
          <w:szCs w:val="24"/>
        </w:rPr>
        <w:t>Prosječan broj zaposlenih na osnovi stanja za 202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3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. godinu je </w:t>
      </w:r>
      <w:r>
        <w:rPr>
          <w:rFonts w:hint="default" w:eastAsia="SimSun" w:cs="SimSun" w:asciiTheme="minorAscii" w:hAnsiTheme="minorAscii"/>
          <w:color w:val="auto"/>
          <w:sz w:val="24"/>
          <w:szCs w:val="24"/>
          <w:lang w:val="hr-HR"/>
        </w:rPr>
        <w:t>64</w:t>
      </w:r>
      <w:r>
        <w:rPr>
          <w:rFonts w:ascii="SimSun" w:hAnsi="SimSun" w:eastAsia="SimSun" w:cs="SimSun"/>
          <w:color w:val="auto"/>
          <w:sz w:val="24"/>
          <w:szCs w:val="24"/>
        </w:rPr>
        <w:t>.</w:t>
      </w:r>
    </w:p>
    <w:p w14:paraId="35431C21">
      <w:pPr>
        <w:jc w:val="both"/>
        <w:rPr>
          <w:rFonts w:ascii="SimSun" w:hAnsi="SimSun" w:eastAsia="SimSun" w:cs="SimSun"/>
          <w:color w:val="auto"/>
          <w:sz w:val="24"/>
          <w:szCs w:val="24"/>
        </w:rPr>
      </w:pP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Tijekom 2024. godine imali smo </w:t>
      </w:r>
      <w:r>
        <w:rPr>
          <w:rFonts w:hint="default" w:ascii="Calibri" w:hAnsi="Calibri" w:eastAsia="SimSun" w:cs="Calibri"/>
          <w:color w:val="auto"/>
          <w:sz w:val="24"/>
          <w:szCs w:val="24"/>
          <w:lang w:val="hr-HR"/>
        </w:rPr>
        <w:t>22 odgojne skupina (386 djece u redovnom programu).</w:t>
      </w:r>
      <w:r>
        <w:rPr>
          <w:rFonts w:ascii="SimSun" w:hAnsi="SimSun" w:eastAsia="SimSun" w:cs="SimSun"/>
          <w:color w:val="auto"/>
          <w:sz w:val="24"/>
          <w:szCs w:val="24"/>
        </w:rPr>
        <w:t xml:space="preserve"> </w:t>
      </w:r>
    </w:p>
    <w:p w14:paraId="1C5A2FC2">
      <w:pPr>
        <w:jc w:val="both"/>
        <w:rPr>
          <w:rFonts w:ascii="SimSun" w:hAnsi="SimSun" w:eastAsia="SimSun" w:cs="SimSun"/>
          <w:sz w:val="24"/>
          <w:szCs w:val="24"/>
        </w:rPr>
      </w:pPr>
    </w:p>
    <w:p w14:paraId="0E6AE3D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Aktivnost A100002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2FDAE2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>Program Predškole se financira iz općih prihoda i primitaka  koji se financiraju iz sredstava proračuna koji nam nije nadležan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. Tijekom 2024. godine bile su 2 odgojne skupine (31 dijete). Zaposlena 1 djelatnica.</w:t>
      </w:r>
    </w:p>
    <w:p w14:paraId="4D6572A2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6387F9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Aktivnost A 100003 </w:t>
      </w:r>
    </w:p>
    <w:p w14:paraId="5E912BD4">
      <w:pPr>
        <w:jc w:val="both"/>
        <w:rPr>
          <w:rFonts w:hint="default" w:asciiTheme="minorHAnsi" w:hAnsiTheme="minorHAnsi" w:cstheme="minorHAnsi"/>
          <w:bCs/>
          <w:color w:val="auto"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Primarni program –Karlobag , financira se iz sredstava pomoći općine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Karlobag </w:t>
      </w:r>
      <w:r>
        <w:rPr>
          <w:rFonts w:asciiTheme="minorHAnsi" w:hAnsiTheme="minorHAnsi" w:cstheme="minorHAnsi"/>
          <w:bCs/>
          <w:sz w:val="24"/>
          <w:szCs w:val="24"/>
        </w:rPr>
        <w:t xml:space="preserve">za plaće i materijalne rashode.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 Tijekom 2024. godine imali smo 1 skupinu</w:t>
      </w:r>
      <w:r>
        <w:rPr>
          <w:rFonts w:hint="default" w:asciiTheme="minorHAnsi" w:hAnsiTheme="minorHAnsi" w:cstheme="minorHAnsi"/>
          <w:bCs/>
          <w:color w:val="auto"/>
          <w:sz w:val="24"/>
          <w:szCs w:val="24"/>
          <w:lang w:val="hr-HR"/>
        </w:rPr>
        <w:t xml:space="preserve"> (8 djece), zaposlene 3 osobe; 2 odgajatelja, 1 kuharica.</w:t>
      </w:r>
    </w:p>
    <w:p w14:paraId="2D7C2CD9">
      <w:pPr>
        <w:jc w:val="both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</w:p>
    <w:p w14:paraId="669982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Aktivnost A100004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B05134">
      <w:pPr>
        <w:jc w:val="both"/>
        <w:rPr>
          <w:rFonts w:hint="default" w:asciiTheme="minorHAnsi" w:hAnsiTheme="minorHAnsi" w:cstheme="minorHAnsi"/>
          <w:bCs/>
          <w:color w:val="auto"/>
          <w:sz w:val="24"/>
          <w:szCs w:val="24"/>
          <w:lang w:val="hr-H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Primarni program –Perušić</w:t>
      </w:r>
      <w:r>
        <w:rPr>
          <w:rFonts w:hint="default" w:asciiTheme="minorHAnsi" w:hAnsiTheme="minorHAnsi" w:cstheme="minorHAnsi"/>
          <w:b w:val="0"/>
          <w:bCs w:val="0"/>
          <w:sz w:val="24"/>
          <w:szCs w:val="24"/>
          <w:lang w:val="hr-HR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financira se iz sredstava pomoći općine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Perušić</w:t>
      </w:r>
      <w:r>
        <w:rPr>
          <w:rFonts w:asciiTheme="minorHAnsi" w:hAnsiTheme="minorHAnsi" w:cstheme="minorHAnsi"/>
          <w:bCs/>
          <w:sz w:val="24"/>
          <w:szCs w:val="24"/>
        </w:rPr>
        <w:t xml:space="preserve"> za plaće djelatnika i materijalne rashode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 te iz Decentraliziranig sredstava za financiranje dijela plaće. Tijekom 2024. godine imali smo </w:t>
      </w:r>
      <w:r>
        <w:rPr>
          <w:rFonts w:hint="default" w:asciiTheme="minorHAnsi" w:hAnsiTheme="minorHAnsi" w:cstheme="minorHAnsi"/>
          <w:bCs/>
          <w:color w:val="auto"/>
          <w:sz w:val="24"/>
          <w:szCs w:val="24"/>
          <w:lang w:val="hr-HR"/>
        </w:rPr>
        <w:t>3 odgojne skupine (57 djece), 8 zaposlenih; 6 odgajatelja, 1 kuharica, 1 spremačica zaposlena na pola radnog vremena.</w:t>
      </w:r>
    </w:p>
    <w:p w14:paraId="7A068DE8">
      <w:pPr>
        <w:jc w:val="both"/>
        <w:rPr>
          <w:rFonts w:hint="default" w:asciiTheme="minorHAnsi" w:hAnsiTheme="minorHAnsi" w:cstheme="minorHAnsi"/>
          <w:bCs/>
          <w:color w:val="auto"/>
          <w:sz w:val="24"/>
          <w:szCs w:val="24"/>
          <w:lang w:val="hr-HR"/>
        </w:rPr>
      </w:pPr>
    </w:p>
    <w:p w14:paraId="30955F8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AA09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04FF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5CB0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2BFC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CC76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60DA4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12311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B344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D52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3A56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3CAF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C0CCC9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bookmarkStart w:id="0" w:name="_GoBack"/>
      <w:bookmarkEnd w:id="0"/>
    </w:p>
    <w:p w14:paraId="18764C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194574">
      <w:pPr>
        <w:rPr>
          <w:rFonts w:asciiTheme="minorHAnsi" w:hAnsiTheme="minorHAnsi" w:cstheme="minorHAnsi"/>
          <w:sz w:val="24"/>
          <w:szCs w:val="24"/>
        </w:rPr>
      </w:pPr>
    </w:p>
    <w:p w14:paraId="3FF3992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FUNKCIJSKA KLASIFIKACIJA</w:t>
      </w:r>
    </w:p>
    <w:p w14:paraId="4AAAB8A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48"/>
        <w:gridCol w:w="1349"/>
        <w:gridCol w:w="74"/>
        <w:gridCol w:w="2614"/>
        <w:gridCol w:w="1447"/>
        <w:gridCol w:w="1470"/>
      </w:tblGrid>
      <w:tr w14:paraId="7BAA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shd w:val="clear" w:color="auto" w:fill="F4B083" w:themeFill="accent2" w:themeFillTint="99"/>
          </w:tcPr>
          <w:p w14:paraId="56DE4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14:paraId="6C7466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 Obrazovanje</w:t>
            </w:r>
          </w:p>
        </w:tc>
        <w:tc>
          <w:tcPr>
            <w:tcW w:w="1331" w:type="dxa"/>
          </w:tcPr>
          <w:p w14:paraId="137301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14:paraId="3D041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35BFB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Izvršenje 202</w:t>
            </w:r>
            <w:r>
              <w:rPr>
                <w:rFonts w:hint="default" w:asciiTheme="minorHAnsi" w:hAnsiTheme="minorHAnsi" w:cstheme="minorHAnsi"/>
                <w:sz w:val="24"/>
                <w:szCs w:val="24"/>
                <w:lang w:val="hr-HR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14:paraId="13ABD3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Izvršenje 202</w:t>
            </w:r>
            <w:r>
              <w:rPr>
                <w:rFonts w:hint="default" w:asciiTheme="minorHAnsi" w:hAnsiTheme="minorHAnsi" w:cstheme="minorHAnsi"/>
                <w:sz w:val="24"/>
                <w:szCs w:val="24"/>
                <w:lang w:val="hr-HR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14:paraId="6253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26A5E3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76E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C000"/>
          </w:tcPr>
          <w:p w14:paraId="1277B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</w:p>
        </w:tc>
        <w:tc>
          <w:tcPr>
            <w:tcW w:w="1406" w:type="dxa"/>
            <w:gridSpan w:val="2"/>
            <w:shd w:val="clear" w:color="auto" w:fill="FFC000"/>
          </w:tcPr>
          <w:p w14:paraId="2066C6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091 Predškolsko obrazovanje</w:t>
            </w:r>
          </w:p>
        </w:tc>
        <w:tc>
          <w:tcPr>
            <w:tcW w:w="2596" w:type="dxa"/>
          </w:tcPr>
          <w:p w14:paraId="21DC0B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97A1D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AFC6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3709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67795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9A534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FFFF00"/>
          </w:tcPr>
          <w:p w14:paraId="12EA6C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Podskupina </w:t>
            </w:r>
          </w:p>
        </w:tc>
        <w:tc>
          <w:tcPr>
            <w:tcW w:w="2596" w:type="dxa"/>
            <w:shd w:val="clear" w:color="auto" w:fill="FFFF00"/>
          </w:tcPr>
          <w:p w14:paraId="44238D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0911 predškolsko obrazovanjeobrazovanje</w:t>
            </w:r>
          </w:p>
        </w:tc>
        <w:tc>
          <w:tcPr>
            <w:tcW w:w="1482" w:type="dxa"/>
          </w:tcPr>
          <w:p w14:paraId="67FDE6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5DA8B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696D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618912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A9BCB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513D01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E72E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Rashodi:</w:t>
            </w:r>
          </w:p>
        </w:tc>
        <w:tc>
          <w:tcPr>
            <w:tcW w:w="1482" w:type="dxa"/>
          </w:tcPr>
          <w:p w14:paraId="4F3C6D2F">
            <w:pP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hint="default" w:asciiTheme="minorHAnsi" w:cstheme="minorHAnsi"/>
                <w:sz w:val="22"/>
                <w:szCs w:val="22"/>
                <w:lang w:val="hr-HR"/>
              </w:rPr>
              <w:t>838.437,77</w:t>
            </w:r>
          </w:p>
        </w:tc>
        <w:tc>
          <w:tcPr>
            <w:tcW w:w="1483" w:type="dxa"/>
          </w:tcPr>
          <w:p w14:paraId="3072C1E8">
            <w:pP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hint="default" w:asciiTheme="minorHAnsi" w:cstheme="minorHAnsi"/>
                <w:sz w:val="22"/>
                <w:szCs w:val="22"/>
                <w:lang w:val="hr-HR"/>
              </w:rPr>
              <w:t>1.078.285,10</w:t>
            </w:r>
          </w:p>
        </w:tc>
      </w:tr>
      <w:tr w14:paraId="05B2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682CE0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98603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45E16B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548AE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Prihodi: </w:t>
            </w:r>
          </w:p>
        </w:tc>
        <w:tc>
          <w:tcPr>
            <w:tcW w:w="1482" w:type="dxa"/>
          </w:tcPr>
          <w:p w14:paraId="76352001">
            <w:pP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  <w:t>782.964,99</w:t>
            </w:r>
          </w:p>
        </w:tc>
        <w:tc>
          <w:tcPr>
            <w:tcW w:w="1483" w:type="dxa"/>
          </w:tcPr>
          <w:p w14:paraId="19845551">
            <w:pP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  <w:t>1.124.990,51</w:t>
            </w:r>
          </w:p>
          <w:p w14:paraId="1D408713">
            <w:pPr>
              <w:rPr>
                <w:rFonts w:hint="default"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D215502">
      <w:pPr>
        <w:rPr>
          <w:rFonts w:hint="default" w:asciiTheme="minorHAnsi" w:hAnsiTheme="minorHAnsi" w:cstheme="minorHAnsi"/>
          <w:sz w:val="18"/>
          <w:szCs w:val="18"/>
          <w:lang w:val="hr-HR"/>
        </w:rPr>
      </w:pPr>
      <w:r>
        <w:rPr>
          <w:rFonts w:asciiTheme="minorHAnsi" w:hAnsiTheme="minorHAnsi" w:cstheme="minorHAnsi"/>
          <w:sz w:val="18"/>
          <w:szCs w:val="18"/>
        </w:rPr>
        <w:t xml:space="preserve">Tablica 1. Funkcijska klasifikacija </w:t>
      </w:r>
      <w:r>
        <w:rPr>
          <w:rFonts w:hint="default" w:asciiTheme="minorHAnsi" w:hAnsiTheme="minorHAnsi" w:cstheme="minorHAnsi"/>
          <w:sz w:val="18"/>
          <w:szCs w:val="18"/>
          <w:lang w:val="hr-HR"/>
        </w:rPr>
        <w:t>Dječjeg vrtića Pahuljica</w:t>
      </w:r>
    </w:p>
    <w:p w14:paraId="52B0D319">
      <w:pPr>
        <w:rPr>
          <w:rFonts w:asciiTheme="minorHAnsi" w:hAnsiTheme="minorHAnsi" w:cstheme="minorHAnsi"/>
          <w:sz w:val="24"/>
          <w:szCs w:val="24"/>
        </w:rPr>
      </w:pPr>
    </w:p>
    <w:p w14:paraId="366849D3">
      <w:pPr>
        <w:rPr>
          <w:rFonts w:asciiTheme="minorHAnsi" w:hAnsiTheme="minorHAnsi" w:cstheme="minorHAnsi"/>
          <w:sz w:val="24"/>
          <w:szCs w:val="24"/>
        </w:rPr>
      </w:pPr>
    </w:p>
    <w:p w14:paraId="0832D8C5">
      <w:pPr>
        <w:rPr>
          <w:rFonts w:asciiTheme="minorHAnsi" w:hAnsiTheme="minorHAnsi" w:cstheme="minorHAnsi"/>
          <w:sz w:val="24"/>
          <w:szCs w:val="24"/>
        </w:rPr>
      </w:pPr>
    </w:p>
    <w:p w14:paraId="4C914928">
      <w:pPr>
        <w:rPr>
          <w:rFonts w:asciiTheme="minorHAnsi" w:hAnsiTheme="minorHAnsi" w:cstheme="minorHAnsi"/>
          <w:sz w:val="24"/>
          <w:szCs w:val="24"/>
        </w:rPr>
      </w:pPr>
    </w:p>
    <w:p w14:paraId="7436B0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v.d. ravnateljica: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AF404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oditeljica računovodstva</w:t>
      </w:r>
      <w:r>
        <w:rPr>
          <w:rFonts w:asciiTheme="minorHAnsi" w:hAnsiTheme="minorHAnsi" w:cstheme="minorHAnsi"/>
          <w:sz w:val="24"/>
          <w:szCs w:val="24"/>
        </w:rPr>
        <w:t xml:space="preserve">: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 xml:space="preserve">  Snježana Biškupović    </w:t>
      </w:r>
    </w:p>
    <w:p w14:paraId="63C642C9">
      <w:pPr>
        <w:rPr>
          <w:rFonts w:asciiTheme="minorHAnsi" w:hAnsiTheme="minorHAnsi" w:cstheme="minorHAnsi"/>
          <w:sz w:val="24"/>
          <w:szCs w:val="24"/>
        </w:rPr>
      </w:pPr>
      <w:r>
        <w:rPr>
          <w:rFonts w:hint="default" w:asciiTheme="minorHAnsi" w:hAnsiTheme="minorHAnsi" w:cstheme="minorHAnsi"/>
          <w:sz w:val="24"/>
          <w:szCs w:val="24"/>
          <w:lang w:val="hr-HR"/>
        </w:rPr>
        <w:t>Ana Ratković, bacc.oec.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</w:p>
    <w:p w14:paraId="31C56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6D77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82AD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EE25DB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redsjednica</w:t>
      </w:r>
    </w:p>
    <w:p w14:paraId="3B3EA93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Upravnog vijeća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69527F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Paola Medved</w:t>
      </w:r>
    </w:p>
    <w:p w14:paraId="070453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2E30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6641152"/>
      <w:docPartObj>
        <w:docPartGallery w:val="autotext"/>
      </w:docPartObj>
    </w:sdtPr>
    <w:sdtContent>
      <w:p w14:paraId="7494981B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8487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52049"/>
    <w:multiLevelType w:val="multilevel"/>
    <w:tmpl w:val="58352049"/>
    <w:lvl w:ilvl="0" w:tentative="0">
      <w:start w:val="5"/>
      <w:numFmt w:val="bullet"/>
      <w:lvlText w:val="-"/>
      <w:lvlJc w:val="left"/>
      <w:pPr>
        <w:ind w:left="1780" w:hanging="360"/>
      </w:pPr>
      <w:rPr>
        <w:rFonts w:hint="default" w:ascii="Calibri" w:hAnsi="Calibri" w:eastAsia="Times New Roman" w:cs="Calibri"/>
        <w:b/>
      </w:rPr>
    </w:lvl>
    <w:lvl w:ilvl="1" w:tentative="0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1">
    <w:nsid w:val="5FEE67F2"/>
    <w:multiLevelType w:val="multilevel"/>
    <w:tmpl w:val="5FEE67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1B14DD"/>
    <w:multiLevelType w:val="multilevel"/>
    <w:tmpl w:val="771B14D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21"/>
    <w:rsid w:val="00021FF9"/>
    <w:rsid w:val="00061959"/>
    <w:rsid w:val="00075AF3"/>
    <w:rsid w:val="000B3E34"/>
    <w:rsid w:val="00174C82"/>
    <w:rsid w:val="002548EB"/>
    <w:rsid w:val="00282663"/>
    <w:rsid w:val="00294A29"/>
    <w:rsid w:val="002A566B"/>
    <w:rsid w:val="002A6613"/>
    <w:rsid w:val="002E209B"/>
    <w:rsid w:val="002E359D"/>
    <w:rsid w:val="00313792"/>
    <w:rsid w:val="00355AD7"/>
    <w:rsid w:val="00370F10"/>
    <w:rsid w:val="0038372C"/>
    <w:rsid w:val="00386994"/>
    <w:rsid w:val="003D7523"/>
    <w:rsid w:val="00421BE5"/>
    <w:rsid w:val="00435A2A"/>
    <w:rsid w:val="00447428"/>
    <w:rsid w:val="0046193F"/>
    <w:rsid w:val="004677FE"/>
    <w:rsid w:val="00483EF1"/>
    <w:rsid w:val="004B1F10"/>
    <w:rsid w:val="004E1DF4"/>
    <w:rsid w:val="004F5ACA"/>
    <w:rsid w:val="005022FF"/>
    <w:rsid w:val="005038AD"/>
    <w:rsid w:val="00561442"/>
    <w:rsid w:val="005629A7"/>
    <w:rsid w:val="0056770E"/>
    <w:rsid w:val="005C6B8D"/>
    <w:rsid w:val="005F02C7"/>
    <w:rsid w:val="005F27A4"/>
    <w:rsid w:val="00613778"/>
    <w:rsid w:val="006276EF"/>
    <w:rsid w:val="00634C52"/>
    <w:rsid w:val="00674E3A"/>
    <w:rsid w:val="00682CF8"/>
    <w:rsid w:val="006C47C4"/>
    <w:rsid w:val="006F0D80"/>
    <w:rsid w:val="006F3CBE"/>
    <w:rsid w:val="0079400F"/>
    <w:rsid w:val="007C7B02"/>
    <w:rsid w:val="007E2857"/>
    <w:rsid w:val="007E69B0"/>
    <w:rsid w:val="007F10AC"/>
    <w:rsid w:val="00830A0E"/>
    <w:rsid w:val="00851C25"/>
    <w:rsid w:val="00865AE5"/>
    <w:rsid w:val="008A79EC"/>
    <w:rsid w:val="008C121A"/>
    <w:rsid w:val="009037C9"/>
    <w:rsid w:val="00962178"/>
    <w:rsid w:val="0097133D"/>
    <w:rsid w:val="00973C61"/>
    <w:rsid w:val="00997221"/>
    <w:rsid w:val="009A16C6"/>
    <w:rsid w:val="009B6F1D"/>
    <w:rsid w:val="009D409A"/>
    <w:rsid w:val="00A024D3"/>
    <w:rsid w:val="00A10881"/>
    <w:rsid w:val="00AB3A6D"/>
    <w:rsid w:val="00AE6565"/>
    <w:rsid w:val="00AF4916"/>
    <w:rsid w:val="00B270CC"/>
    <w:rsid w:val="00B82E20"/>
    <w:rsid w:val="00BB1C70"/>
    <w:rsid w:val="00BC60CF"/>
    <w:rsid w:val="00C4049D"/>
    <w:rsid w:val="00C71F7C"/>
    <w:rsid w:val="00C72862"/>
    <w:rsid w:val="00C76BB9"/>
    <w:rsid w:val="00CA19E8"/>
    <w:rsid w:val="00CB5115"/>
    <w:rsid w:val="00CF5DF2"/>
    <w:rsid w:val="00D10EC0"/>
    <w:rsid w:val="00D16497"/>
    <w:rsid w:val="00D22B5A"/>
    <w:rsid w:val="00DF1E2B"/>
    <w:rsid w:val="00E22CF9"/>
    <w:rsid w:val="00E33E47"/>
    <w:rsid w:val="00E8019C"/>
    <w:rsid w:val="00E97943"/>
    <w:rsid w:val="00EA7E20"/>
    <w:rsid w:val="00EB14E0"/>
    <w:rsid w:val="00EB4D37"/>
    <w:rsid w:val="00ED3BEE"/>
    <w:rsid w:val="00F10405"/>
    <w:rsid w:val="00F15EA9"/>
    <w:rsid w:val="00F36105"/>
    <w:rsid w:val="00F409E5"/>
    <w:rsid w:val="00F83470"/>
    <w:rsid w:val="00FC7AD2"/>
    <w:rsid w:val="0C591620"/>
    <w:rsid w:val="0FAF1175"/>
    <w:rsid w:val="32773063"/>
    <w:rsid w:val="3B762FC2"/>
    <w:rsid w:val="526A426D"/>
    <w:rsid w:val="52A92511"/>
    <w:rsid w:val="627024DB"/>
    <w:rsid w:val="6FD774F2"/>
    <w:rsid w:val="77B31628"/>
    <w:rsid w:val="7FB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Zaglavlje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3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Tekst balončića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7D8F-F5A4-437A-94DC-2956F8EA3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4264</Characters>
  <Lines>35</Lines>
  <Paragraphs>10</Paragraphs>
  <TotalTime>12</TotalTime>
  <ScaleCrop>false</ScaleCrop>
  <LinksUpToDate>false</LinksUpToDate>
  <CharactersWithSpaces>5002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2023-08-08T12:22:00Z</dcterms:created>
  <dc:creator>Kristina</dc:creator>
  <cp:lastModifiedBy>Ana Ratković</cp:lastModifiedBy>
  <cp:lastPrinted>2023-08-08T12:50:00Z</cp:lastPrinted>
  <dcterms:modified xsi:type="dcterms:W3CDTF">2024-07-30T06:17:26Z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CBD971426C074E26961EE149596912E5_13</vt:lpwstr>
  </property>
</Properties>
</file>